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AMFarbV 2005</w:t>
      </w:r>
    </w:p>
    <w:p>
      <w:r>
        <w:rPr>
          <w:color w:val="555555"/>
          <w:sz w:val="18"/>
        </w:rPr>
        <w:t xml:space="preserve">Arzneimittelfarbstoffverordnung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Gleichzeitig tritt die Arzneimittelfarbstoffverordnung vom 25. August 1982 (BGBl. I S. 1237), zuletzt geändert durch Artikel 5 des Gesetzes vom 27. April 1993 (BGBl. I S. 512, 2436), außer Kraft. Arzneimittel, die der Verordnung nach Satz 1 entsprechen und sich am 27. Oktober 2005 in Verkehr befinden, dürfen noch bis zum 1. November 2006 von pharmazeutischen Unternehmen und danach noch von Groß- und Einzelhändlern weiter in Verkehr gebracht werden.</w:t>
      </w:r>
    </w:p>
    <w:p>
      <w:r>
        <w:rPr>
          <w:color w:val="555555"/>
          <w:sz w:val="17"/>
        </w:rPr>
        <w:t xml:space="preserve">Zitiervorschlag: § 3 AMFarbV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https://recht.nulegal.eu/gesetze/AMFarbV%202005/3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