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AMFarbV 2005</w:t>
      </w:r>
    </w:p>
    <w:p>
      <w:r>
        <w:rPr>
          <w:color w:val="555555"/>
          <w:sz w:val="18"/>
        </w:rPr>
        <w:t xml:space="preserve">Arzneimittelfarbstoffverordnung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§ 95 Abs. 1 Nr. 2, Abs. 2 bis 4 des Arzneimittelgesetzes wird bestraft, wer vorsätzlich oder fahrlässig Arzneimittel entgegen § 1 Abs. 2 in den Verkehr bringt.</w:t>
      </w:r>
    </w:p>
    <w:p>
      <w:r>
        <w:t xml:space="preserve">(2) Nach § 96 Nummer 2 des Arzneimittelgesetzes wird bestraft, wer entgegen § 1 Abs. 1 bei der Herstellung von Arzneimitteln zur Färbung andere als die dort genannten Stoffe oder Zubereitungen aus diesen Stoffen verwendet.</w:t>
      </w:r>
    </w:p>
    <w:p>
      <w:r>
        <w:t xml:space="preserve">(3) Wer eine in Absatz 2 bezeichnete Handlung fahrlässig begeht, handelt nach § 97 Abs. 1 des Arzneimittelgesetzes ordnungswidrig.</w:t>
      </w:r>
    </w:p>
    <w:p>
      <w:r>
        <w:rPr>
          <w:color w:val="555555"/>
          <w:sz w:val="17"/>
        </w:rPr>
        <w:t xml:space="preserve">Zitiervorschlag: § 2 AMFarbV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https://recht.nulegal.eu/gesetze/AMFarbV%202005/2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