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AMFarbV 2005</w:t>
      </w:r>
    </w:p>
    <w:p>
      <w:r>
        <w:rPr>
          <w:color w:val="555555"/>
          <w:sz w:val="18"/>
        </w:rPr>
        <w:t xml:space="preserve">Arzneimittelfarbstoffverordnung</w:t>
      </w:r>
    </w:p>
    <w:p>
      <w:r>
        <w:rPr>
          <w:color w:val="555555"/>
          <w:sz w:val="18"/>
        </w:rPr>
        <w:t xml:space="preserve">Stand: 27.01.2022 (konsolidierte Textfassung, kein amtliches Inkrafttretensdatum)</w:t>
      </w:r>
    </w:p>
    <w:p>
      <w:r>
        <w:t xml:space="preserve">(1) Bei der Herstellung von Arzneimitteln im Sinne des § 2 Absatz 1 des Arzneimittelgesetzes dürfen über die in § 55 Absatz 8 des Arzneimittelgesetzes genannten Voraussetzungen hinaus zur Färbung nur solche Stoffe oder Zubereitungen aus Stoffen verwendet werden, die</w:t>
      </w:r>
    </w:p>
    <w:p>
      <w:pPr>
        <w:ind w:left="420"/>
      </w:pPr>
      <w:r>
        <w:t xml:space="preserve">1. in der Richtlinie 2009/35/EG des Europäischen Parlaments und des Rates vom 23. April 2009 über die Stoffe, die Arzneimitteln zum Zwecke der Färbung hinzugefügt werden dürfen (Neufassung) (ABl. L 109 vom 30.4.2009, S. 10) in Verbindung mit Anhang II der Verordnung (EG) Nr. 1333/2008 des Europäischen Parlaments und des Rates vom 16. Dezember 2008 über Lebensmittelzusatzstoffe (ABl. L 354 vom 31.12.2008, S. 16), die zuletzt durch die Verordnung (EU) 2018/1497 (ABl. L 253 vom 9.10.2018, S. 36) geändert worden ist, in der jeweils geltenden Fassung aufgeführt sind, und</w:t>
      </w:r>
    </w:p>
    <w:p>
      <w:pPr>
        <w:ind w:left="420"/>
      </w:pPr>
      <w:r>
        <w:t xml:space="preserve">2. den jeweiligen Anforderungen an die Reinheit nach dem Anhang der Verordnung (EU) Nr. 231/2012 der Kommission vom 9. März 2012 mit Spezifikationen für die in den Anhängen II und III der Verordnung (EG) Nr. 1333/2008 des Europäischen Parlaments und des Rates aufgeführten Lebensmittelzusatzstoffe (ABl. L 83 vom 22.3.2012, S. 1), die zuletzt durch die Verordnung (EU) 2018/1481 (ABl. L 251 vom 5.10.2018, S. 13) geändert worden ist, in der jeweils geltenden Fassung entsprechen.</w:t>
      </w:r>
    </w:p>
    <w:p>
      <w:r>
        <w:t xml:space="preserve">Satz 1 gilt nicht, soweit die Stoffe und Zubereitungen aus diesen Stoffen zur Färbung ausschließlich in Arzneimitteln verwendet werden, die in den Anwendungsbereich der Verordnung (EU) Nr. 536/2014 des Europäischen Parlaments und des Rates vom 16. April 2014 über klinische Prüfungen mit Humanarzneimitteln und zur Aufhebung der Richtlinie 2001/20/EG (ABl. L 158 vom 27.5.2014, S. 1; L 311 vom 17.11.2016, S. 25) fallen.</w:t>
      </w:r>
    </w:p>
    <w:p>
      <w:r>
        <w:t xml:space="preserve">(2) Arzneimittel im Sinne des § 2 Abs. 1 des Arzneimittelgesetzes, die nicht nach den Vorschriften des Absatzes 1 hergestellt sind, dürfen im Geltungsbereich des Arzneimittelgesetzes nicht in den Verkehr gebracht werden.</w:t>
      </w:r>
    </w:p>
    <w:p>
      <w:r>
        <w:rPr>
          <w:color w:val="555555"/>
          <w:sz w:val="17"/>
        </w:rPr>
        <w:t xml:space="preserve">Zitiervorschlag: § 1 AMFarbV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https://recht.nulegal.eu/gesetze/AMFarbV%202005/1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