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AMEG (Nordrhein-Westfalen) — Geltendmachung des Anspruchs</w:t>
      </w:r>
    </w:p>
    <w:p>
      <w:r>
        <w:rPr>
          <w:color w:val="555555"/>
          <w:sz w:val="18"/>
        </w:rPr>
        <w:t xml:space="preserve">Ausschussmitglieder-Entschädigungsgesetz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Beträge, auf die die Ausschussmitglieder nach diesem Gesetz Anspruch haben, werden nur auf Antrag gewährt. Der Anspruch erlischt, wenn der Antrag nicht binnen eines Jahres nach dem anspruchsbegründenden Tatbestand gestellt wird.</w:t>
      </w:r>
    </w:p>
    <w:p>
      <w:r>
        <w:rPr>
          <w:color w:val="555555"/>
          <w:sz w:val="17"/>
        </w:rPr>
        <w:t xml:space="preserve">Zitiervorschlag: § 7 AMEG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https://recht.nulegal.eu/gesetze/AMEG/7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