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AMEG (Nordrhein-Westfalen) — Aufrundung</w:t>
      </w:r>
    </w:p>
    <w:p>
      <w:r>
        <w:rPr>
          <w:color w:val="555555"/>
          <w:sz w:val="18"/>
        </w:rPr>
        <w:t xml:space="preserve">Ausschussmitglieder-Entschädigungsgesetz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Gesamtbetrag, der nach den §§ 2 bis 5 zu gewähren ist, ist auf durch zehn teilbare Centbeträge aufzurunden.</w:t>
      </w:r>
    </w:p>
    <w:p>
      <w:r>
        <w:rPr>
          <w:color w:val="555555"/>
          <w:sz w:val="17"/>
        </w:rPr>
        <w:t xml:space="preserve">Zitiervorschlag: § 6 AMEG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https://recht.nulegal.eu/gesetze/AMEG/6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