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AMEG (Nordrhein-Westfalen) — Verdienstausfall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Ausschussmitglieder werden für ihren Verdienstausfall entschädigt.</w:t>
      </w:r>
    </w:p>
    <w:p>
      <w:r>
        <w:t xml:space="preserve">(2) Die Entschädigung richtet sich nach dem regelmäßigen Bruttoverdienst. Sie wird nach Stunden der versäumten Arbeitszeit berechnet; dabei ist für jede Stunde höchstens der Betrag anzusetzen, der einer Zeugin oder einem Zeugen nach dem Justizvergütungs- und -entschädigungsgesetz vom 5. Mai 2004 (BGBl. I S. 718, 776) in der jeweils geltenden Fassung als Höchstbetrag zusteht. Die letzte angefangene Stunde wird voll gerechnet.</w:t>
      </w:r>
    </w:p>
    <w:p>
      <w:r>
        <w:rPr>
          <w:color w:val="555555"/>
          <w:sz w:val="17"/>
        </w:rPr>
        <w:t xml:space="preserve">Zitiervorschlag: § 2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