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AMEG (Nordrhein-Westfalen) — Geltungsbereich, Verordnungsermächtigung</w:t>
      </w:r>
    </w:p>
    <w:p>
      <w:r>
        <w:rPr>
          <w:color w:val="555555"/>
          <w:sz w:val="18"/>
        </w:rPr>
        <w:t xml:space="preserve">Ausschussmitglieder-Entschädigungsgesetz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ehrenamtlichen Mitglieder von Ausschüssen und Beiräten, die zur Mitwirkung in Verwaltungsangelegenheiten des Landes gebildet werden, erhalten zur Abgeltung ihrer Aufwendungen eine Entschädigung nach Maßgabe dieses Gesetzes.</w:t>
      </w:r>
    </w:p>
    <w:p>
      <w:r>
        <w:t xml:space="preserve">(2) Das für Finanzen zuständige Ministerium wird ermächtigt, durch Rechtsverordnung die Ausschüsse und Beiräte im Sinne des Absatzes 1 in das als Anlage zu diesem Gesetz geführte Verzeichnis aufzunehmen und dieses fortzuführen.</w:t>
      </w:r>
    </w:p>
    <w:p>
      <w:r>
        <w:rPr>
          <w:color w:val="555555"/>
          <w:sz w:val="17"/>
        </w:rPr>
        <w:t xml:space="preserve">Zitiervorschlag: § 1 AMEG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https://recht.nulegal.eu/gesetze/AMEG/1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