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AMBtAngV</w:t>
      </w:r>
    </w:p>
    <w:p>
      <w:r>
        <w:rPr>
          <w:color w:val="555555"/>
          <w:sz w:val="18"/>
        </w:rPr>
        <w:t xml:space="preserve">Verordnung über die Angabe von Arzneimittelbestandteilen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Abs. 1a des Arzneimittelgesetzes vom 24. August 1976 (BGBl. I S. 2445, 2448), der durch Artikel 1 Nr. 5 des Gesetzes vom 11. April 1990 (BGBl. I S. 717) eingefügt worden ist, in Verbindung mit Artikel 56 Abs. 1 des Zuständigkeitsanpassungs-Gesetzes vom 18. März 1975 (BGBl. I S. 705) und dem Organisationserlaß des Bundeskanzlers vom 23. Januar 1991 (BGBl. I S. 530) verordnet der Bundesminister für Gesundheit im Einvernehmen mit dem Bundesminister für Ernährung, Landwirtschaft und Forsten:</w:t>
      </w:r>
    </w:p>
    <w:p>
      <w:r>
        <w:rPr>
          <w:color w:val="555555"/>
          <w:sz w:val="17"/>
        </w:rPr>
        <w:t xml:space="preserve">Zitiervorschlag: Eingangsformel AMBtAngV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https://recht.nulegal.eu/gesetze/AMBtAngV/eingangsformel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