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AMBtAngV</w:t>
      </w:r>
    </w:p>
    <w:p>
      <w:r>
        <w:rPr>
          <w:color w:val="555555"/>
          <w:sz w:val="18"/>
        </w:rPr>
        <w:t xml:space="preserve">Verordnung über die Angabe von Arzneimittelbestandteilen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der Anlage genannten Stoffe oder Zubereitungen aus Stoffen unterliegen nicht der Verpflichtung zur Angabe nach § 11 Abs. 1 Satz 1 Nr. 3 und § 11a Abs. 1 Satz 2 Nr. 3 des Arzneimittelgesetzes, soweit es sich nicht um wirksame Bestandteile handelt und sie in Arzneimitteln der in der Anlage jeweils genannten Anwendungsbereiche verwendet werden.</w:t>
      </w:r>
    </w:p>
    <w:p>
      <w:r>
        <w:t xml:space="preserve">(2) Werden Geruchs- oder Aromastoffe in Arzneimitteln in den in der Anlage unter den Nummern 1.1 oder 2 genannten Anwendungsbereichen verwendet, so dürfen diese mit der zusammenfassenden Bezeichnung "Geruchsstoffe" oder "Aromastoffe" angegeben werden. Enthalten sie Bergamottöl, Beta-Asaron oder Safrol, so sind diese anzugeben.</w:t>
      </w:r>
    </w:p>
    <w:p>
      <w:r>
        <w:t xml:space="preserve">(3) Werden Farbstoffe verwendet, so dürfen diese mit der Bezeichnung "Farbstoff" oder "Farbstoffe", gefolgt von der EWG-Nummer oder den EWG-Nummern, angegeben werden.</w:t>
      </w:r>
    </w:p>
    <w:p>
      <w:r>
        <w:t xml:space="preserve">(4) Werden Alkyl-4-hydroxybenzoate als Konservierungsmittel verwendet, so dürfen diese mit der Bezeichnung "Paraben" oder "Parabene", gefolgt von der EWG-Nummer oder den EWG-Nummern, angegeben werden. Dies gilt nur für Arzneimittel in den in der Anlage unter den Nummern 1.1 und 2 genannten Anwendungsbereichen.</w:t>
      </w:r>
    </w:p>
    <w:p>
      <w:r>
        <w:rPr>
          <w:color w:val="555555"/>
          <w:sz w:val="17"/>
        </w:rPr>
        <w:t xml:space="preserve">Zitiervorschlag: § 1 AMBtAngV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https://recht.nulegal.eu/gesetze/AMBtAngV/1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