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AMAusbV 2004 — Ausbildungsrahmenplan</w:t>
      </w:r>
    </w:p>
    <w:p>
      <w:r>
        <w:rPr>
          <w:color w:val="555555"/>
          <w:sz w:val="18"/>
        </w:rPr>
        <w:t xml:space="preserve">Aufbereitungsmechaniker-Ausbildungsverordnung</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die Auszubildenden zur Ausübung einer qualifizierten beruflichen Tätigkeit im Sinne des § 1 Abs. 2 des Berufsbildungsgesetzes befähigt werden, die insbesondere selbständiges Planen, Durchführen und Kontrollieren einschließt. Diese Befähigung ist auch in den Prüfungen nach den §§ 7 und 8 nachzuweisen.</w:t>
      </w:r>
    </w:p>
    <w:p>
      <w:r>
        <w:rPr>
          <w:color w:val="555555"/>
          <w:sz w:val="17"/>
        </w:rPr>
        <w:t xml:space="preserve">Zitiervorschlag: § 4 AMAusbV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https://recht.nulegal.eu/gesetze/AMAusbV%202004/4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