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AMAusbV 2004 — Ausbildungsdauer, Fachrichtungen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Für das dritte Ausbildungsjahr kann zwischen den Fachrichtungen</w:t>
      </w:r>
    </w:p>
    <w:p>
      <w:pPr>
        <w:ind w:left="420"/>
      </w:pPr>
      <w:r>
        <w:t xml:space="preserve">1. Naturstein,</w:t>
      </w:r>
    </w:p>
    <w:p>
      <w:pPr>
        <w:ind w:left="420"/>
      </w:pPr>
      <w:r>
        <w:t xml:space="preserve">2. feuerfeste und keramische Rohstoffe,</w:t>
      </w:r>
    </w:p>
    <w:p>
      <w:pPr>
        <w:ind w:left="420"/>
      </w:pPr>
      <w:r>
        <w:t xml:space="preserve">3. Sand und Kies,</w:t>
      </w:r>
    </w:p>
    <w:p>
      <w:pPr>
        <w:ind w:left="420"/>
      </w:pPr>
      <w:r>
        <w:t xml:space="preserve">4. Steinkohle,</w:t>
      </w:r>
    </w:p>
    <w:p>
      <w:pPr>
        <w:ind w:left="420"/>
      </w:pPr>
      <w:r>
        <w:t xml:space="preserve">5. Braunkohle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