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AM15V (Brandenburg) — Inkrafttreten</w:t>
      </w:r>
    </w:p>
    <w:p>
      <w:r>
        <w:rPr>
          <w:color w:val="555555"/>
          <w:sz w:val="18"/>
        </w:rPr>
        <w:t xml:space="preserve">AM15-Verordnung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Mai 2020 in Kraft.</w:t>
      </w:r>
    </w:p>
    <w:p>
      <w:r>
        <w:t xml:space="preserve">Einzelnorm</w:t>
      </w:r>
    </w:p>
    <w:p>
      <w:r>
        <w:t xml:space="preserve">Potsdam, den 26. März 2020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Der Minister für Infrastruktur und Landesplanung</w:t>
      </w:r>
    </w:p>
    <w:p>
      <w:r>
        <w:t xml:space="preserve">Guido Beermann</w:t>
      </w:r>
    </w:p>
    <w:p>
      <w:r>
        <w:rPr>
          <w:color w:val="555555"/>
          <w:sz w:val="17"/>
        </w:rPr>
        <w:t xml:space="preserve">Zitiervorschlag: § 2 AM15V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https://recht.nulegal.eu/gesetze/AM15V/2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