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ALehrV — Ermäßigungen für Aufgaben im öffentlichen Interesse außerhalb der Hochschule des Bundes für öffentliche Verwaltung</w:t>
      </w:r>
    </w:p>
    <w:p>
      <w:r>
        <w:rPr>
          <w:color w:val="555555"/>
          <w:sz w:val="18"/>
        </w:rPr>
        <w:t xml:space="preserve">Allgemeine Lehrverpflichtungsverordnung</w:t>
      </w:r>
    </w:p>
    <w:p>
      <w:r>
        <w:rPr>
          <w:color w:val="555555"/>
          <w:sz w:val="18"/>
        </w:rPr>
        <w:t xml:space="preserve">Stand: 08.05.2026 (konsolidierte Textfassung, kein amtliches Inkrafttretensdatum)</w:t>
      </w:r>
    </w:p>
    <w:p>
      <w:r>
        <w:t xml:space="preserve">Für Aufgaben, die außerhalb der Hochschule des Bundes für öffentliche Verwaltung wahrgenommen werden, kann im Einzelfall eine Ermäßigung der Jahreslehrverpflichtung gewährt werden, wenn die Aufgaben im öffentlichen Interesse liegen.</w:t>
      </w:r>
    </w:p>
    <w:p>
      <w:r>
        <w:rPr>
          <w:color w:val="555555"/>
          <w:sz w:val="17"/>
        </w:rPr>
        <w:t xml:space="preserve">Zitiervorschlag: § 9 ALehrV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https://recht.nulegal.eu/gesetze/ALehrV/9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