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ALehrV — Anwendungsbestimmung; Fortgeltung von Lehrverpflichtungsrichtlinien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(1) Diese Verordnung ist erstmalig mit Beginn des auf den 6. Mai 2026 folgenden Abrechnungszeitraums des jeweiligen Fachbereichs beziehungsweise des Zentralen Lehrbereichs anzuwenden.</w:t>
      </w:r>
    </w:p>
    <w:p>
      <w:r>
        <w:t xml:space="preserve">(2) Bis zum Erlass einer besonderen Lehrverpflichtungsverordnung sind für den jeweiligen Fachbereich beziehungsweise den Zentralen Lehrbereich die bisherigen Lehrverpflichtungsrichtlinien anzuwenden, soweit sie dieser Verordnung nicht entgegenstehen.</w:t>
      </w:r>
    </w:p>
    <w:p>
      <w:r>
        <w:rPr>
          <w:color w:val="555555"/>
          <w:sz w:val="17"/>
        </w:rPr>
        <w:t xml:space="preserve">Zitiervorschlag: § 2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