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ALehrV — Evaluierung</w:t>
      </w:r>
    </w:p>
    <w:p>
      <w:r>
        <w:rPr>
          <w:color w:val="555555"/>
          <w:sz w:val="18"/>
        </w:rPr>
        <w:t xml:space="preserve">Allgemeine Lehrverpflichtungsverordnung</w:t>
      </w:r>
    </w:p>
    <w:p>
      <w:r>
        <w:rPr>
          <w:color w:val="555555"/>
          <w:sz w:val="18"/>
        </w:rPr>
        <w:t xml:space="preserve">Stand: 08.05.2026 (konsolidierte Textfassung, kein amtliches Inkrafttretensdatum)</w:t>
      </w:r>
    </w:p>
    <w:p>
      <w:r>
        <w:t xml:space="preserve">Diese Verordnung wird fünf Jahre nach dem 7. Mai 2026 evaluiert. Die Evaluierung wird unter der Federführung des Bundesministeriums des Innern unter Beteiligung des Kuratoriums der Hochschule des Bundes für öffentliche Verwaltung durchgeführt.</w:t>
      </w:r>
    </w:p>
    <w:p>
      <w:r>
        <w:rPr>
          <w:color w:val="555555"/>
          <w:sz w:val="17"/>
        </w:rPr>
        <w:t xml:space="preserve">Zitiervorschlag: § 12 ALehrV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https://recht.nulegal.eu/gesetze/ALehrV/12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