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ALehrV — Weitere Anrechnungen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Eine Anrechnung auf die Jahreslehrverpflichtung bis maximal 3,6 Lehrveranstaltungsstunden pro Kalendertag kann erfolgen für</w:t>
      </w:r>
    </w:p>
    <w:p>
      <w:pPr>
        <w:ind w:left="420"/>
      </w:pPr>
      <w:r>
        <w:t xml:space="preserve">1. die Teilnahme an Fortbildungen,</w:t>
      </w:r>
    </w:p>
    <w:p>
      <w:pPr>
        <w:ind w:left="420"/>
      </w:pPr>
      <w:r>
        <w:t xml:space="preserve">2. Praxisaufenthalte,</w:t>
      </w:r>
    </w:p>
    <w:p>
      <w:pPr>
        <w:ind w:left="420"/>
      </w:pPr>
      <w:r>
        <w:t xml:space="preserve">3. Dienstreisen und</w:t>
      </w:r>
    </w:p>
    <w:p>
      <w:pPr>
        <w:ind w:left="420"/>
      </w:pPr>
      <w:r>
        <w:t xml:space="preserve">4. krankheitsbedingte Dienstunfähigkeiten.</w:t>
      </w:r>
    </w:p>
    <w:p>
      <w:r>
        <w:rPr>
          <w:color w:val="555555"/>
          <w:sz w:val="17"/>
        </w:rPr>
        <w:t xml:space="preserve">Zitiervorschlag: § 11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