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ALehrV — Geltungsbereich; Verhältnis zu besonderen Lehrverpflichtungsverordnungen</w:t>
      </w:r>
    </w:p>
    <w:p>
      <w:r>
        <w:rPr>
          <w:color w:val="555555"/>
          <w:sz w:val="18"/>
        </w:rPr>
        <w:t xml:space="preserve">Allgemeine Lehrverpflichtungsverordnung</w:t>
      </w:r>
    </w:p>
    <w:p>
      <w:r>
        <w:rPr>
          <w:color w:val="555555"/>
          <w:sz w:val="18"/>
        </w:rPr>
        <w:t xml:space="preserve">Stand: 08.05.2026 (konsolidierte Textfassung, kein amtliches Inkrafttretensdatum)</w:t>
      </w:r>
    </w:p>
    <w:p>
      <w:r>
        <w:t xml:space="preserve">(1) Diese Verordnung regelt nach § 132a Absatz 2 Satz 1 des Bundesbeamtengesetzes die allgemeine Lehrverpflichtung des hauptberuflichen wissenschaftlichen Personals der Hochschule des Bundes für öffentliche Verwaltung gemäß § 19 der Grundordnung der Hochschule des Bundes für öffentliche Verwaltung (GMBl 2018 S. 662) in der jeweils geltenden Fassung.</w:t>
      </w:r>
    </w:p>
    <w:p>
      <w:r>
        <w:t xml:space="preserve">(2) Die allgemeine Lehrverpflichtung gilt nicht für hauptberuflich tätige Dekaninnen und Dekane sowie für hauptberuflich tätige Fachbereichsleiterinnen und Fachbereichsleiter der Hochschule.</w:t>
      </w:r>
    </w:p>
    <w:p>
      <w:r>
        <w:t xml:space="preserve">(3) Eine Abweichung von der allgemeinen Lehrverpflichtungsverordnung oder ihre nähere Ausgestaltung in besonderen Lehrverpflichtungsverordnungen (§ 132a Absatz 3 Satz 1 des Bundesbeamtengesetzes) ist nach § 132a Absatz 3 Satz 2 des Bundesbeamtengesetzes nur zulässig, soweit diese Verordnung dies ausdrücklich vorsieht.</w:t>
      </w:r>
    </w:p>
    <w:p>
      <w:r>
        <w:rPr>
          <w:color w:val="555555"/>
          <w:sz w:val="17"/>
        </w:rPr>
        <w:t xml:space="preserve">Zitiervorschlag: § 1 ALehrV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https://recht.nulegal.eu/gesetze/ALehrV/1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