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ALGZV (Brandenburg)</w:t>
      </w:r>
    </w:p>
    <w:p>
      <w:r>
        <w:rPr>
          <w:color w:val="555555"/>
          <w:sz w:val="18"/>
        </w:rPr>
        <w:t xml:space="preserve">ALG-Zuständigkeitsverordnung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Stelle nach § 21 Abs. 6 Satz 2 des</w:t>
      </w:r>
    </w:p>
    <w:p>
      <w:r>
        <w:t xml:space="preserve">Gesetzes über die Alterssicherung der Landwirte sind die Landkreise und</w:t>
      </w:r>
    </w:p>
    <w:p>
      <w:r>
        <w:t xml:space="preserve">kreisfreien Städte. Sie nehmen die Aufgaben als Pflichtaufgabe zur</w:t>
      </w:r>
    </w:p>
    <w:p>
      <w:r>
        <w:t xml:space="preserve">Erfüllung nach Weisung wahr.</w:t>
      </w:r>
    </w:p>
    <w:p>
      <w:r>
        <w:rPr>
          <w:color w:val="555555"/>
          <w:sz w:val="17"/>
        </w:rPr>
        <w:t xml:space="preserve">Zitiervorschlag: § 2 ALGZV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