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ALGZV (Brandenburg)</w:t>
      </w:r>
    </w:p>
    <w:p>
      <w:r>
        <w:rPr>
          <w:color w:val="555555"/>
          <w:sz w:val="18"/>
        </w:rPr>
        <w:t xml:space="preserve">ALG-Zuständigkeitsverordnung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Stelle nach § 21 Abs. 5 Satz 2 des</w:t>
      </w:r>
    </w:p>
    <w:p>
      <w:r>
        <w:t xml:space="preserve">Gesetzes über die Alterssicherung der Landwirte sind die Ämter</w:t>
      </w:r>
    </w:p>
    <w:p>
      <w:r>
        <w:t xml:space="preserve">für Forstwirtschaft.</w:t>
      </w:r>
    </w:p>
    <w:p>
      <w:r>
        <w:rPr>
          <w:color w:val="555555"/>
          <w:sz w:val="17"/>
        </w:rPr>
        <w:t xml:space="preserve">Zitiervorschlag: § 1 ALGZV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