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93a ALG — Abschlag vom Rentenwert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Beginn einer Rente wegen Erwerbsminderung vor dem 1. Januar 2004 wird der Abschlag vom allgemeinen Rentenwert nach § 23 Abs. 8 in Abhängigkeit vom Beginn der Rente in Höhe des Prozentsatzes nach Anlage 3 berücksichtigt. Für Renten wegen Todes gilt Satz 1 mit der Maßgabe, dass nicht auf den Rentenbeginn, sondern auf den auf den Todesmonat folgenden Kalendermonat abzustellen ist.</w:t>
      </w:r>
    </w:p>
    <w:p>
      <w:r>
        <w:t xml:space="preserve">(2) Bei Versicherten, die eine vorzeitige Altersrente nach § 12 Abs. 1 nach Maßgabe von § 87b in Anspruch nehmen können, ist bei der Berechnung dieser Rente der Abschlag nach § 23 Abs. 8 unter Anwendung der in § 87b genannten Regelaltersgrenze zu ermitteln.</w:t>
      </w:r>
    </w:p>
    <w:p>
      <w:r>
        <w:t xml:space="preserve">(3) Beginnt eine Rente wegen Erwerbsminderung vor 2024 oder sind bei einer Rente wegen Todes die Versicherten vor 2024 verstorben, tritt bei der Berechnung der Abschläge bei diesen Renten nach § 23 Abs. 8 Satz 1 Nr. 1 und 2 und bei der Berechnung der Verminderung der Abschläge nach § 23 Abs. 10 Satz 1 Nr. 1 an die Stelle des 65. Lebensjahres die folgende Altersgrenze:</w:t>
      </w:r>
    </w:p>
    <w:p>
      <w:r>
        <w:rPr>
          <w:rFonts w:ascii="Courier New" w:hAnsi="Courier New"/>
          <w:sz w:val="17"/>
        </w:rPr>
        <w:t xml:space="preserve">Rentenbeginn/Todeszeitpunkt    maßgebendeAltersgrenze</w:t>
      </w:r>
    </w:p>
    <w:p>
      <w:r>
        <w:rPr>
          <w:rFonts w:ascii="Courier New" w:hAnsi="Courier New"/>
          <w:sz w:val="17"/>
        </w:rPr>
        <w:t xml:space="preserve">Jahr    Monat    Jahre    Monate</w:t>
      </w:r>
    </w:p>
    <w:p>
      <w:r>
        <w:rPr>
          <w:rFonts w:ascii="Courier New" w:hAnsi="Courier New"/>
          <w:sz w:val="17"/>
        </w:rPr>
        <w:t xml:space="preserve">vor 2012        63    0</w:t>
      </w:r>
    </w:p>
    <w:p>
      <w:r>
        <w:rPr>
          <w:rFonts w:ascii="Courier New" w:hAnsi="Courier New"/>
          <w:sz w:val="17"/>
        </w:rPr>
        <w:t xml:space="preserve">2012            </w:t>
      </w:r>
    </w:p>
    <w:p>
      <w:r>
        <w:rPr>
          <w:rFonts w:ascii="Courier New" w:hAnsi="Courier New"/>
          <w:sz w:val="17"/>
        </w:rPr>
        <w:t xml:space="preserve">    Januar    63    1</w:t>
      </w:r>
    </w:p>
    <w:p>
      <w:r>
        <w:rPr>
          <w:rFonts w:ascii="Courier New" w:hAnsi="Courier New"/>
          <w:sz w:val="17"/>
        </w:rPr>
        <w:t xml:space="preserve">    Februar    63    2</w:t>
      </w:r>
    </w:p>
    <w:p>
      <w:r>
        <w:rPr>
          <w:rFonts w:ascii="Courier New" w:hAnsi="Courier New"/>
          <w:sz w:val="17"/>
        </w:rPr>
        <w:t xml:space="preserve">    März    63    3</w:t>
      </w:r>
    </w:p>
    <w:p>
      <w:r>
        <w:rPr>
          <w:rFonts w:ascii="Courier New" w:hAnsi="Courier New"/>
          <w:sz w:val="17"/>
        </w:rPr>
        <w:t xml:space="preserve">    April    63    4</w:t>
      </w:r>
    </w:p>
    <w:p>
      <w:r>
        <w:rPr>
          <w:rFonts w:ascii="Courier New" w:hAnsi="Courier New"/>
          <w:sz w:val="17"/>
        </w:rPr>
        <w:t xml:space="preserve">    Mai    63    5</w:t>
      </w:r>
    </w:p>
    <w:p>
      <w:r>
        <w:rPr>
          <w:rFonts w:ascii="Courier New" w:hAnsi="Courier New"/>
          <w:sz w:val="17"/>
        </w:rPr>
        <w:t xml:space="preserve">    Juni bis Dezember    63    6</w:t>
      </w:r>
    </w:p>
    <w:p>
      <w:r>
        <w:rPr>
          <w:rFonts w:ascii="Courier New" w:hAnsi="Courier New"/>
          <w:sz w:val="17"/>
        </w:rPr>
        <w:t xml:space="preserve">2013        63    7</w:t>
      </w:r>
    </w:p>
    <w:p>
      <w:r>
        <w:rPr>
          <w:rFonts w:ascii="Courier New" w:hAnsi="Courier New"/>
          <w:sz w:val="17"/>
        </w:rPr>
        <w:t xml:space="preserve">2014        63    8</w:t>
      </w:r>
    </w:p>
    <w:p>
      <w:r>
        <w:rPr>
          <w:rFonts w:ascii="Courier New" w:hAnsi="Courier New"/>
          <w:sz w:val="17"/>
        </w:rPr>
        <w:t xml:space="preserve">2015        63    9</w:t>
      </w:r>
    </w:p>
    <w:p>
      <w:r>
        <w:rPr>
          <w:rFonts w:ascii="Courier New" w:hAnsi="Courier New"/>
          <w:sz w:val="17"/>
        </w:rPr>
        <w:t xml:space="preserve">2016        63    10</w:t>
      </w:r>
    </w:p>
    <w:p>
      <w:r>
        <w:rPr>
          <w:rFonts w:ascii="Courier New" w:hAnsi="Courier New"/>
          <w:sz w:val="17"/>
        </w:rPr>
        <w:t xml:space="preserve">2017        63    11</w:t>
      </w:r>
    </w:p>
    <w:p>
      <w:r>
        <w:rPr>
          <w:rFonts w:ascii="Courier New" w:hAnsi="Courier New"/>
          <w:sz w:val="17"/>
        </w:rPr>
        <w:t xml:space="preserve">2018        64    0</w:t>
      </w:r>
    </w:p>
    <w:p>
      <w:r>
        <w:rPr>
          <w:rFonts w:ascii="Courier New" w:hAnsi="Courier New"/>
          <w:sz w:val="17"/>
        </w:rPr>
        <w:t xml:space="preserve">2019        64    2</w:t>
      </w:r>
    </w:p>
    <w:p>
      <w:r>
        <w:rPr>
          <w:rFonts w:ascii="Courier New" w:hAnsi="Courier New"/>
          <w:sz w:val="17"/>
        </w:rPr>
        <w:t xml:space="preserve">2020        64    4</w:t>
      </w:r>
    </w:p>
    <w:p>
      <w:r>
        <w:rPr>
          <w:rFonts w:ascii="Courier New" w:hAnsi="Courier New"/>
          <w:sz w:val="17"/>
        </w:rPr>
        <w:t xml:space="preserve">2021        64    6</w:t>
      </w:r>
    </w:p>
    <w:p>
      <w:r>
        <w:rPr>
          <w:rFonts w:ascii="Courier New" w:hAnsi="Courier New"/>
          <w:sz w:val="17"/>
        </w:rPr>
        <w:t xml:space="preserve">2022        64    8</w:t>
      </w:r>
    </w:p>
    <w:p>
      <w:r>
        <w:rPr>
          <w:rFonts w:ascii="Courier New" w:hAnsi="Courier New"/>
          <w:sz w:val="17"/>
        </w:rPr>
        <w:t xml:space="preserve">2023        64    10.</w:t>
      </w:r>
    </w:p>
    <w:p>
      <w:r>
        <w:t xml:space="preserve">An die Stelle des 62. Lebensjahres tritt bei der Berechnung der Verminderung der Abschläge nach § 23 Abs. 10 Satz 1 Nr. 1 in den in Satz 1 genannten Fällen jeweils die um 36 Kalendermonate geminderte Altersgrenze nach Satz 1. In den in Satz 1 genannten Fällen berechnen sich die Abschläge nach § 23 Abs. 8 Satz 4, wenn für insgesamt 35 Jahre Zeiten nach § 23 Abs. 8 Satz 2 Nr. 1 bis 3 zurückgelegt sind.</w:t>
      </w:r>
    </w:p>
    <w:p>
      <w:r>
        <w:rPr>
          <w:color w:val="555555"/>
          <w:sz w:val="17"/>
        </w:rPr>
        <w:t xml:space="preserve">Zitiervorschlag: § 93a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https://recht.nulegal.eu/gesetze/ALG/93a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