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92a ALG — Zurechnungszeit</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Beginnt eine Rente wegen Erwerbsminderung im Jahr 2018 oder verstirbt die versicherte Person bei einer Rente wegen Todes im Jahr 2018, endet die Zurechnungszeit mit Vollendung des 62. Lebensjahres und drei Monaten.</w:t>
      </w:r>
    </w:p>
    <w:p>
      <w:r>
        <w:t xml:space="preserve">(2) Beginnt eine Rente wegen Erwerbsminderung im Jahr 2019 oder verstirbt die versicherte Person bei einer Rente wegen Todes im Jahr 2019, endet die Zurechnungszeit mit Vollendung des 65. Lebensjahres und acht Monaten.</w:t>
      </w:r>
    </w:p>
    <w:p>
      <w:r>
        <w:t xml:space="preserve">(3) Beginnt eine Rente wegen Erwerbsminderung nach dem 31. Dezember 2019 und vor dem 1. Januar 2031 oder verstirbt die versicherte Person bei einer Rente wegen Todes nach dem 31. Dezember 2019 und vor dem 1. Januar 2031, wird das Ende der Zurechnungszeit wie folgt angehoben:</w:t>
      </w:r>
    </w:p>
    <w:p>
      <w:r>
        <w:rPr>
          <w:rFonts w:ascii="Courier New" w:hAnsi="Courier New"/>
          <w:sz w:val="17"/>
        </w:rPr>
        <w:t xml:space="preserve">Bei Beginn der Rente oder bei Tod der Versicherten im Jahr    Anhebung um Monate    auf Alter</w:t>
      </w:r>
    </w:p>
    <w:p>
      <w:r>
        <w:rPr>
          <w:rFonts w:ascii="Courier New" w:hAnsi="Courier New"/>
          <w:sz w:val="17"/>
        </w:rPr>
        <w:t xml:space="preserve">Jahre    Monate</w:t>
      </w:r>
    </w:p>
    <w:p>
      <w:r>
        <w:rPr>
          <w:rFonts w:ascii="Courier New" w:hAnsi="Courier New"/>
          <w:sz w:val="17"/>
        </w:rPr>
        <w:t xml:space="preserve">2020    1    65    9</w:t>
      </w:r>
    </w:p>
    <w:p>
      <w:r>
        <w:rPr>
          <w:rFonts w:ascii="Courier New" w:hAnsi="Courier New"/>
          <w:sz w:val="17"/>
        </w:rPr>
        <w:t xml:space="preserve">2021    2    65    10</w:t>
      </w:r>
    </w:p>
    <w:p>
      <w:r>
        <w:rPr>
          <w:rFonts w:ascii="Courier New" w:hAnsi="Courier New"/>
          <w:sz w:val="17"/>
        </w:rPr>
        <w:t xml:space="preserve">2022    3    65    11</w:t>
      </w:r>
    </w:p>
    <w:p>
      <w:r>
        <w:rPr>
          <w:rFonts w:ascii="Courier New" w:hAnsi="Courier New"/>
          <w:sz w:val="17"/>
        </w:rPr>
        <w:t xml:space="preserve">2023    4    66    0</w:t>
      </w:r>
    </w:p>
    <w:p>
      <w:r>
        <w:rPr>
          <w:rFonts w:ascii="Courier New" w:hAnsi="Courier New"/>
          <w:sz w:val="17"/>
        </w:rPr>
        <w:t xml:space="preserve">2024    5    66    1</w:t>
      </w:r>
    </w:p>
    <w:p>
      <w:r>
        <w:rPr>
          <w:rFonts w:ascii="Courier New" w:hAnsi="Courier New"/>
          <w:sz w:val="17"/>
        </w:rPr>
        <w:t xml:space="preserve">2025    6    66    2</w:t>
      </w:r>
    </w:p>
    <w:p>
      <w:r>
        <w:rPr>
          <w:rFonts w:ascii="Courier New" w:hAnsi="Courier New"/>
          <w:sz w:val="17"/>
        </w:rPr>
        <w:t xml:space="preserve">2026    7    66    3</w:t>
      </w:r>
    </w:p>
    <w:p>
      <w:r>
        <w:rPr>
          <w:rFonts w:ascii="Courier New" w:hAnsi="Courier New"/>
          <w:sz w:val="17"/>
        </w:rPr>
        <w:t xml:space="preserve">2027    8    66    4</w:t>
      </w:r>
    </w:p>
    <w:p>
      <w:r>
        <w:rPr>
          <w:rFonts w:ascii="Courier New" w:hAnsi="Courier New"/>
          <w:sz w:val="17"/>
        </w:rPr>
        <w:t xml:space="preserve">2028    10    66    6</w:t>
      </w:r>
    </w:p>
    <w:p>
      <w:r>
        <w:rPr>
          <w:rFonts w:ascii="Courier New" w:hAnsi="Courier New"/>
          <w:sz w:val="17"/>
        </w:rPr>
        <w:t xml:space="preserve">2029    12    66    8</w:t>
      </w:r>
    </w:p>
    <w:p>
      <w:r>
        <w:rPr>
          <w:rFonts w:ascii="Courier New" w:hAnsi="Courier New"/>
          <w:sz w:val="17"/>
        </w:rPr>
        <w:t xml:space="preserve">2030    14    66    10</w:t>
      </w:r>
    </w:p>
    <w:p>
      <w:r>
        <w:t xml:space="preserve">(4) Die Zurechnungszeit endet spätestens mit dem Erreichen der Regelaltersgrenze nach § 87a.</w:t>
      </w:r>
    </w:p>
    <w:p>
      <w:r>
        <w:t xml:space="preserve">(5) Hat die verstorbene versicherte Person zum Zeitpunkt des Todes Anspruch auf eine Rente wegen Erwerbsminderung, ist bei einer nachfolgenden Rente wegen Todes eine Zurechnungszeit nur insoweit zu berücksichtigen, wie sie in der vorangegangenen Rente wegen Erwerbsminderung angerechnet wurde.</w:t>
      </w:r>
    </w:p>
    <w:p>
      <w:r>
        <w:rPr>
          <w:color w:val="555555"/>
          <w:sz w:val="17"/>
        </w:rPr>
        <w:t xml:space="preserve">Zitiervorschlag: § 92a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https://recht.nulegal.eu/gesetze/ALG/92a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