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87b ALG — Vorzeitige Altersrente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Versicherten, die vor 1958 geboren sind, sind für die Ermittlung des Zeitpunktes, ab dem eine vorzeitige Altersrente nach § 12 Abs. 1 in Anspruch genommen werden kann, abweichend von § 11 Abs. 3 und § 87a folgende Regelaltersgrenzen zugrunde zu legen:</w:t>
      </w:r>
    </w:p>
    <w:p>
      <w:r>
        <w:rPr>
          <w:rFonts w:ascii="Courier New" w:hAnsi="Courier New"/>
          <w:sz w:val="17"/>
        </w:rPr>
        <w:t xml:space="preserve">Geburtsjahrgänge Geburtsmonate    maßgebende Regelaltersgrenze</w:t>
      </w:r>
    </w:p>
    <w:p>
      <w:r>
        <w:rPr>
          <w:rFonts w:ascii="Courier New" w:hAnsi="Courier New"/>
          <w:sz w:val="17"/>
        </w:rPr>
        <w:t xml:space="preserve">Jahre    Monate</w:t>
      </w:r>
    </w:p>
    <w:p>
      <w:r>
        <w:rPr>
          <w:rFonts w:ascii="Courier New" w:hAnsi="Courier New"/>
          <w:sz w:val="17"/>
        </w:rPr>
        <w:t xml:space="preserve">vor 1957    65    0</w:t>
      </w:r>
    </w:p>
    <w:p>
      <w:r>
        <w:rPr>
          <w:rFonts w:ascii="Courier New" w:hAnsi="Courier New"/>
          <w:sz w:val="17"/>
        </w:rPr>
        <w:t xml:space="preserve">1957        </w:t>
      </w:r>
    </w:p>
    <w:p>
      <w:r>
        <w:rPr>
          <w:rFonts w:ascii="Courier New" w:hAnsi="Courier New"/>
          <w:sz w:val="17"/>
        </w:rPr>
        <w:t xml:space="preserve">Januar    65    1</w:t>
      </w:r>
    </w:p>
    <w:p>
      <w:r>
        <w:rPr>
          <w:rFonts w:ascii="Courier New" w:hAnsi="Courier New"/>
          <w:sz w:val="17"/>
        </w:rPr>
        <w:t xml:space="preserve">Februar    65    2</w:t>
      </w:r>
    </w:p>
    <w:p>
      <w:r>
        <w:rPr>
          <w:rFonts w:ascii="Courier New" w:hAnsi="Courier New"/>
          <w:sz w:val="17"/>
        </w:rPr>
        <w:t xml:space="preserve">März    65    3</w:t>
      </w:r>
    </w:p>
    <w:p>
      <w:r>
        <w:rPr>
          <w:rFonts w:ascii="Courier New" w:hAnsi="Courier New"/>
          <w:sz w:val="17"/>
        </w:rPr>
        <w:t xml:space="preserve">April    65    4</w:t>
      </w:r>
    </w:p>
    <w:p>
      <w:r>
        <w:rPr>
          <w:rFonts w:ascii="Courier New" w:hAnsi="Courier New"/>
          <w:sz w:val="17"/>
        </w:rPr>
        <w:t xml:space="preserve">Mai    65    5</w:t>
      </w:r>
    </w:p>
    <w:p>
      <w:r>
        <w:rPr>
          <w:rFonts w:ascii="Courier New" w:hAnsi="Courier New"/>
          <w:sz w:val="17"/>
        </w:rPr>
        <w:t xml:space="preserve">Juni    65    6</w:t>
      </w:r>
    </w:p>
    <w:p>
      <w:r>
        <w:rPr>
          <w:rFonts w:ascii="Courier New" w:hAnsi="Courier New"/>
          <w:sz w:val="17"/>
        </w:rPr>
        <w:t xml:space="preserve">Juli    65    7</w:t>
      </w:r>
    </w:p>
    <w:p>
      <w:r>
        <w:rPr>
          <w:rFonts w:ascii="Courier New" w:hAnsi="Courier New"/>
          <w:sz w:val="17"/>
        </w:rPr>
        <w:t xml:space="preserve">August    65    8</w:t>
      </w:r>
    </w:p>
    <w:p>
      <w:r>
        <w:rPr>
          <w:rFonts w:ascii="Courier New" w:hAnsi="Courier New"/>
          <w:sz w:val="17"/>
        </w:rPr>
        <w:t xml:space="preserve">September    65    9</w:t>
      </w:r>
    </w:p>
    <w:p>
      <w:r>
        <w:rPr>
          <w:rFonts w:ascii="Courier New" w:hAnsi="Courier New"/>
          <w:sz w:val="17"/>
        </w:rPr>
        <w:t xml:space="preserve">Oktober    65    10</w:t>
      </w:r>
    </w:p>
    <w:p>
      <w:r>
        <w:rPr>
          <w:rFonts w:ascii="Courier New" w:hAnsi="Courier New"/>
          <w:sz w:val="17"/>
        </w:rPr>
        <w:t xml:space="preserve">Novemberund Dezember    65    11.</w:t>
      </w:r>
    </w:p>
    <w:p>
      <w:r>
        <w:rPr>
          <w:color w:val="555555"/>
          <w:sz w:val="17"/>
        </w:rPr>
        <w:t xml:space="preserve">Zitiervorschlag: § 87b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https://recht.nulegal.eu/gesetze/ALG/87b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