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78 ALG — Beteiligung des Bundes</w:t>
      </w:r>
    </w:p>
    <w:p>
      <w:r>
        <w:rPr>
          <w:color w:val="555555"/>
          <w:sz w:val="18"/>
        </w:rPr>
        <w:t xml:space="preserve">Gesetz über die Alterssicherung der Landwirte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 trägt den Unterschiedsbetrag zwischen den Einnahmen und den Ausgaben der Alterssicherung der Landwirte eines Kalenderjahres; er stellt hiermit zugleich deren dauernde Leistungsfähigkeit sicher.</w:t>
      </w:r>
    </w:p>
    <w:p>
      <w:r>
        <w:rPr>
          <w:color w:val="555555"/>
          <w:sz w:val="17"/>
        </w:rPr>
        <w:t xml:space="preserve">Zitiervorschlag: § 78 ALG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https://recht.nulegal.eu/gesetze/ALG/78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