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ALG — Wiederauffüllung geminderter Anrechte</w:t>
      </w:r>
    </w:p>
    <w:p>
      <w:r>
        <w:rPr>
          <w:color w:val="555555"/>
          <w:sz w:val="18"/>
        </w:rPr>
        <w:t xml:space="preserve">Gesetz über die Alterssicherung der Landwirte</w:t>
      </w:r>
    </w:p>
    <w:p>
      <w:r>
        <w:rPr>
          <w:color w:val="555555"/>
          <w:sz w:val="18"/>
        </w:rPr>
        <w:t xml:space="preserve">Stand: 18.01.2023 (konsolidierte Textfassung, kein amtliches Inkrafttretensdatum)</w:t>
      </w:r>
    </w:p>
    <w:p>
      <w:r>
        <w:t xml:space="preserve">(1) Im Rahmen des Versorgungsausgleichs können Beiträge gezahlt werden, um Anrechte, die um einen Abschlag von der Steigerungszahl gemindert worden sind, ganz oder teilweise wieder aufzufüllen.</w:t>
      </w:r>
    </w:p>
    <w:p>
      <w:r>
        <w:t xml:space="preserve">(2) Die Beiträge werden auf der Grundlage des auf dem Versorgungsausgleich beruhenden Abschlags von der Steigerungszahl (§ 24 Abs. 2, § 101) ermittelt; für jeden vollen Wert ist das Zwölffache des Betrages zu zahlen, der nach § 68 als Beitrag für das Jahr, in dem die Beiträge gezahlt werden, maßgebend ist. Für die Wirksamkeit der Beitragszahlung gilt § 187 Absatz 5 des Sechsten Buches Sozialgesetzbuch entsprechend. Nach bindender Bewilligung einer Rente wegen Alters ist eine Beitragszahlung zur Wiederauffüllung nicht zulässig.</w:t>
      </w:r>
    </w:p>
    <w:p>
      <w:r>
        <w:t xml:space="preserve">(3) Sind Beiträge nach Absatz 1 gezahlt worden und ergeht eine Entscheidung zur Abänderung des Wertausgleichs nach der Scheidung, sind im Umfang der Abänderung zu viel gezahlte Beiträge unter Anrechnung gewährter Leistungen zurückzuzahlen.</w:t>
      </w:r>
    </w:p>
    <w:p>
      <w:r>
        <w:rPr>
          <w:color w:val="555555"/>
          <w:sz w:val="17"/>
        </w:rPr>
        <w:t xml:space="preserve">Zitiervorschlag: § 72 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https://recht.nulegal.eu/gesetze/ALG/72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