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ALG — Finanzierungsgrundsatz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Ausgaben eines Kalenderjahres werden durch die Einnahmen des gleichen Kalenderjahres gedeckt.</w:t>
      </w:r>
    </w:p>
    <w:p>
      <w:r>
        <w:t xml:space="preserve">(2) Einnahmen sind insbesondere die Beiträge und die Mittel des Bundes zum Ausgleich von Einnahmen und Ausgaben.</w:t>
      </w:r>
    </w:p>
    <w:p>
      <w:r>
        <w:rPr>
          <w:color w:val="555555"/>
          <w:sz w:val="17"/>
        </w:rPr>
        <w:t xml:space="preserve">Zitiervorschlag: § 66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