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ALG — Auszahlung und Anpassung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Auszahlung von Renten gelten die §§ 118, 118a und 272a des Sechsten Buches Sozialgesetzbuch entsprechend.</w:t>
      </w:r>
    </w:p>
    <w:p>
      <w:r>
        <w:t xml:space="preserve">(2) Das Auszahlungsverfahren wird durch die Satzung der landwirtschaftlichen Alterskasse geregelt; dabei kann vorgesehen werden, dass die Renten durch die Deutsche Post AG ausgezahlt und angepasst werden. Werden der Deutschen Post AG diese Aufgaben übertragen, gilt § 119 Absatz 2 bis 7 des Sechsten Buches Sozialgesetzbuch entsprechend.</w:t>
      </w:r>
    </w:p>
    <w:p>
      <w:r>
        <w:rPr>
          <w:color w:val="555555"/>
          <w:sz w:val="17"/>
        </w:rPr>
        <w:t xml:space="preserve">Zitiervorschlag: § 45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