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ALG — Beginn und Abschluß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den Beginn und den Abschluß des Verfahrens gelten § 115 Abs. 1 bis 5, § 116 Abs. 2 sowie § 117 des Sechsten Buches Sozialgesetzbuch entsprechend.</w:t>
      </w:r>
    </w:p>
    <w:p>
      <w:r>
        <w:t xml:space="preserve">(2) Die landwirtschaftliche Alterskasse soll die Berechtigten in geeigneten Fällen darauf hinweisen, daß sie eine Leistung erhalten können, wenn sie diese beantragen.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44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