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ALG — Interne und externe Teilung</w:t>
      </w:r>
    </w:p>
    <w:p>
      <w:r>
        <w:rPr>
          <w:color w:val="555555"/>
          <w:sz w:val="18"/>
        </w:rPr>
        <w:t xml:space="preserve">Gesetz über die Alterssicherung der Landwirte</w:t>
      </w:r>
    </w:p>
    <w:p>
      <w:r>
        <w:rPr>
          <w:color w:val="555555"/>
          <w:sz w:val="18"/>
        </w:rPr>
        <w:t xml:space="preserve">Stand: 01.07.2024 (konsolidierte Textfassung, kein amtliches Inkrafttretensdatum)</w:t>
      </w:r>
    </w:p>
    <w:p>
      <w:r>
        <w:t xml:space="preserve">(1) Zum Ausgleich der nach diesem Gesetz erworbenen Anrechte findet zwischen den geschiedenen Ehegatten die interne Teilung nach dem Versorgungsausgleichsgesetz und den ergänzenden Vorschriften dieses Gesetzes statt. Dies gilt entsprechend für den Versorgungsausgleich nach dem Lebenspartnerschaftsgesetz.</w:t>
      </w:r>
    </w:p>
    <w:p>
      <w:r>
        <w:t xml:space="preserve">(2) Die interne Teilung erfolgt, indem zu Lasten der von der ausgleichspflichtigen Person nach diesem Gesetz erworbenen Anrechte für die ausgleichsberechtigte Person Anrechte bei der landwirtschaftlichen Alterskasse übertragen werden.</w:t>
      </w:r>
    </w:p>
    <w:p>
      <w:r>
        <w:t xml:space="preserve">(3) Durch externe Teilung im Versorgungsausgleich können Anrechte nach diesem Gesetz nur begründet werden, wenn die ausgleichsberechtigte Person vor dem Ende der Ehezeit bereits Anrechte nach diesem Gesetz erworben hat und am Ende der Ehezeit eine bindende Rente wegen Alters nicht bezieht. § 187 Absatz 5 Satz 2 und 3 des Sechsten Buches Sozialgesetzbuch gilt entsprechend.</w:t>
      </w:r>
    </w:p>
    <w:p>
      <w:r>
        <w:rPr>
          <w:color w:val="555555"/>
          <w:sz w:val="17"/>
        </w:rPr>
        <w:t xml:space="preserve">Zitiervorschlag: § 43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