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ALG — Leistungen zur Teilhabe, Renten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Berechtigte erhalten die Leistungen zur Teilhabe nur, wenn für den Kalendermonat, in dem der Antrag gestellt ist, ein Beitrag gezahlt worden ist.</w:t>
      </w:r>
    </w:p>
    <w:p>
      <w:r>
        <w:t xml:space="preserve">(2) Berechtigte erhalten wegen voller Erwerbsminderung nach § 43 Abs. 2 des Sechsten Buches Sozialgesetzbuch eine Rente nur, wenn der Anspruch unabhängig von der jeweiligen Arbeitsmarktlage besteht.</w:t>
      </w:r>
    </w:p>
    <w:p>
      <w:r>
        <w:t xml:space="preserve">(3) Betriebs- oder Haushaltshilfe zur Aufrechterhaltung des Unternehmens der Landwirtschaft wird nur im Inland erbracht.</w:t>
      </w:r>
    </w:p>
    <w:p>
      <w:r>
        <w:t xml:space="preserve">(4) Berechtigten wird ein Überbrückungsgeld nicht gezahlt.</w:t>
      </w:r>
    </w:p>
    <w:p>
      <w:r>
        <w:rPr>
          <w:color w:val="555555"/>
          <w:sz w:val="17"/>
        </w:rPr>
        <w:t xml:space="preserve">Zitiervorschlag: § 42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