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ALG — Betriebs- und Haushaltshilfe in anderen Fällen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Betriebshilfe kann für den versicherten Landwirt erbracht werden, wenn</w:t>
      </w:r>
    </w:p>
    <w:p>
      <w:pPr>
        <w:ind w:left="420"/>
      </w:pPr>
      <w:r>
        <w:t xml:space="preserve">1. eine Person, die die Aufgaben eines versicherten Landwirts oder seines Ehegatten außerhalb eines rentenversicherungspflichtigen Beschäftigungsverhältnisses ständig wahrgenommen hat, gestorben ist,</w:t>
      </w:r>
    </w:p>
    <w:p>
      <w:pPr>
        <w:ind w:left="420"/>
      </w:pPr>
      <w:r>
        <w:t xml:space="preserve">2. die Leistung zur Aufrechterhaltung des Unternehmens der Landwirtschaft erforderlich ist und</w:t>
      </w:r>
    </w:p>
    <w:p>
      <w:pPr>
        <w:ind w:left="420"/>
      </w:pPr>
      <w:r>
        <w:t xml:space="preserve">3. in dem Unternehmen keine Arbeitnehmer oder mitarbeitenden Familienangehörigen ständig beschäftigt werden.</w:t>
      </w:r>
    </w:p>
    <w:p>
      <w:r>
        <w:t xml:space="preserve">Haushaltshilfe kann in entsprechender Anwendung des Satzes 1 erbracht werden, wenn die Weiterführung des Haushalts nicht möglich ist und diese auf andere Weise nicht sicherzustellen ist.</w:t>
      </w:r>
    </w:p>
    <w:p>
      <w:r>
        <w:t xml:space="preserve">(2) Betriebs- und Haushaltshilfe kann in entsprechender Anwendung von Absatz 1 auch erbracht werden, wenn</w:t>
      </w:r>
    </w:p>
    <w:p>
      <w:pPr>
        <w:ind w:left="420"/>
      </w:pPr>
      <w:r>
        <w:t xml:space="preserve">1. ein alleinstehender versicherter Landwirt gestorben ist oder</w:t>
      </w:r>
    </w:p>
    <w:p>
      <w:pPr>
        <w:ind w:left="420"/>
      </w:pPr>
      <w:r>
        <w:t xml:space="preserve">2. der versicherte Landwirt und sein Ehegatte gestorben sind.</w:t>
      </w:r>
    </w:p>
    <w:p>
      <w:r>
        <w:t xml:space="preserve">(3) § 36 Abs. 5 und § 37 Abs. 2 bis 4 gelten entsprechend.</w:t>
      </w:r>
    </w:p>
    <w:p>
      <w:r>
        <w:rPr>
          <w:color w:val="555555"/>
          <w:sz w:val="17"/>
        </w:rPr>
        <w:t xml:space="preserve">Zitiervorschlag: § 39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