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ALG — Betriebs- und Haushaltshilfe bei Tod des Landwirts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Betriebshilfe kann für den überlebenden Ehegatten eines Landwirts erbracht werden, wenn er das Unternehmen des Verstorbenen als versicherungspflichtiger Landwirt weiterführt und</w:t>
      </w:r>
    </w:p>
    <w:p>
      <w:pPr>
        <w:ind w:left="420"/>
      </w:pPr>
      <w:r>
        <w:t xml:space="preserve">1. die Leistung zur Aufrechterhaltung des Unternehmens der Landwirtschaft erforderlich ist und</w:t>
      </w:r>
    </w:p>
    <w:p>
      <w:pPr>
        <w:ind w:left="420"/>
      </w:pPr>
      <w:r>
        <w:t xml:space="preserve">2. in dem Unternehmen keine Arbeitnehmer oder mitarbeitenden Familienangehörigen ständig beschäftigt werden.</w:t>
      </w:r>
    </w:p>
    <w:p>
      <w:r>
        <w:t xml:space="preserve">Haushaltshilfe kann in entsprechender Anwendung des Satzes 1 erbracht werden, wenn die Weiterführung des Haushalts nicht möglich ist und diese auf andere Weise nicht sicherzustellen ist.</w:t>
      </w:r>
    </w:p>
    <w:p>
      <w:r>
        <w:t xml:space="preserve">(2) Betriebs- oder Haushaltshilfe kann innerhalb von zwei Jahren nach dem Tode des Landwirts für insgesamt zwölf Monate erbracht werden. § 10 Abs. 3 gilt.</w:t>
      </w:r>
    </w:p>
    <w:p>
      <w:r>
        <w:t xml:space="preserve">(3) Der Leistungsberechtigte beteiligt sich angemessen an den entstehenden Aufwendungen unter Berücksichtigung seines Einkommens (Selbstbeteiligung); die Selbstbeteiligung beträgt höchstens 50 vom Hundert der entstehenden Aufwendungen.</w:t>
      </w:r>
    </w:p>
    <w:p>
      <w:r>
        <w:t xml:space="preserve">(4) Leistungen nach den Absätzen 1 bis 3 müssen wirksam und wirtschaftlich sein, sie dürfen das Maß des Notwendigen nicht übersteigen. Das Nähere über die Durchführung der Leistungen nach den Absätzen 1 bis 3 wird in der Satzung der landwirtschaftlichen Alterskasse geregelt.</w:t>
      </w:r>
    </w:p>
    <w:p>
      <w:r>
        <w:rPr>
          <w:color w:val="555555"/>
          <w:sz w:val="17"/>
        </w:rPr>
        <w:t xml:space="preserve">Zitiervorschlag: § 37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