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ALG — Betriebs- und Haushaltshilfe bei Arbeitsunfähigkeit, Schwangerschaft und medizinischen Vorsorge- und Rehabilitationsleistungen</w:t>
      </w:r>
    </w:p>
    <w:p>
      <w:r>
        <w:rPr>
          <w:color w:val="555555"/>
          <w:sz w:val="18"/>
        </w:rPr>
        <w:t xml:space="preserve">Gesetz über die Alterssicherung der Landwirte</w:t>
      </w:r>
    </w:p>
    <w:p>
      <w:r>
        <w:rPr>
          <w:color w:val="555555"/>
          <w:sz w:val="18"/>
        </w:rPr>
        <w:t xml:space="preserve">Stand: 05.08.2026 (konsolidierte Textfassung, kein amtliches Inkrafttretensdatum)</w:t>
      </w:r>
    </w:p>
    <w:p>
      <w:r>
        <w:t xml:space="preserve">(1) Betriebshilfe kann bei Arbeitsunfähigkeit des Versicherten oder Teilarbeitsunfähigkeit des Versicherten nach § 44c Absatz 1 Satz 1 des Fünften Buches Sozialgesetzbuch erbracht werden, wenn die Leistung zur Aufrechterhaltung des Unternehmens der Landwirtschaft erforderlich ist. Haushaltshilfe kann in den in Satz 1 genannten Fällen erbracht werden, wenn dem Versicherten die Weiterführung des Haushalts nicht möglich und diese auf andere Weise nicht sicherzustellen ist. Eine Leistung nach den Sätzen 1 und 2 ist ausgeschlossen, wenn sie durch die landwirtschaftliche Krankenkasse oder die landwirtschaftliche Berufsgenossenschaft erbracht oder nur deshalb nicht erbracht wird, weil insoweit in der Satzung die Möglichkeiten zur Ausweitung der Leistungsansprüche nicht ausgeschöpft wurden. Eine Leistung nach Satz 1 und 2 ist auch ausgeschlossen, wenn sie von einem Träger der Sozialversicherung nur deshalb nicht erbracht wird, weil der Anspruch auf Leistungen nach § 8 Abs. 2a des Zweiten Gesetzes über die Krankenversicherung der Landwirte oder nach § 16 Abs. 3a des Fünften Buches Sozialgesetzbuch ruht. Eine Leistung nach Satz 2 ist ferner ausgeschlossen, soweit sie von anderen als den in Satz 3 genannten Trägern der Sozialversicherung kraft Gesetzes oder infolge satzungsmäßiger Ausweitung der Leistungsverpflichtung erbracht wird.</w:t>
      </w:r>
    </w:p>
    <w:p>
      <w:r>
        <w:t xml:space="preserve">(2) Absatz 1 gilt entsprechend bei</w:t>
      </w:r>
    </w:p>
    <w:p>
      <w:pPr>
        <w:ind w:left="420"/>
      </w:pPr>
      <w:r>
        <w:t xml:space="preserve">1. Vorliegen einer Schwangerschaft und bis zum Ablauf von acht Wochen oder in den Fällen des § 3 Absatz 2 Satz 2 des Mutterschutzgesetzes bis zum Ablauf von zwölf Wochen nach der Entbindung. Bei vorzeitigen Entbindungen ist § 3 Absatz 2 Satz 3 des Mutterschutzgesetzes entsprechend anzuwenden,</w:t>
      </w:r>
    </w:p>
    <w:p>
      <w:pPr>
        <w:ind w:left="420"/>
      </w:pPr>
      <w:r>
        <w:t xml:space="preserve">2. medizinische Vorsorgeleistungen nach den §§ 23 und 24 des Fünften Buches Sozialgesetzbuch und</w:t>
      </w:r>
    </w:p>
    <w:p>
      <w:pPr>
        <w:ind w:left="420"/>
      </w:pPr>
      <w:r>
        <w:t xml:space="preserve">3. medizinische Rehabilitationsleistungen nach den §§ 40 und 41 des Fünften Buches Sozialgesetzbuch.</w:t>
      </w:r>
    </w:p>
    <w:p>
      <w:r>
        <w:t xml:space="preserve">(3) § 10 Abs. 3 gilt.</w:t>
      </w:r>
    </w:p>
    <w:p>
      <w:r>
        <w:t xml:space="preserve">(4) Leistungen nach den Absätzen 1 bis 3 müssen wirksam und wirtschaftlich sein, sie dürfen das Maß des Notwendigen nicht übersteigen. Das Nähere über die Durchführung der Leistungen nach den Absätzen 1 bis 3 wird in der Satzung der landwirtschaftlichen Alterskasse geregelt.</w:t>
      </w:r>
    </w:p>
    <w:p>
      <w:r>
        <w:t xml:space="preserve">(5) Versicherter ist, wer im Zeitpunkt der Antragstellung oder, wenn ein Antrag nicht gestellt ist, im Zeitpunkt des Leistungsbeginns als Landwirt versicherungspflichtig ist.</w:t>
      </w:r>
    </w:p>
    <w:p>
      <w:r>
        <w:rPr>
          <w:color w:val="555555"/>
          <w:sz w:val="17"/>
        </w:rPr>
        <w:t xml:space="preserve">Zitiervorschlag: § 36 ALG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