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ALG — Anspruchsvoraussetzungen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Verstirbt der Empfänger einer Landabgaberente nach dem 31. Dezember 1994, erhält die Witwe oder der Witwer Landabgaberente, wenn sie nicht wieder geheiratet haben und nicht Landwirt sind. Dies gilt auch nach einer Wiederheirat, wenn diese Ehe aufgelöst oder für nichtig erklärt wird. § 16 gilt entsprechend.</w:t>
      </w:r>
    </w:p>
    <w:p>
      <w:r>
        <w:t xml:space="preserve">(2) Anspruch auf Landabgaberente an Witwen oder Witwer besteht nicht für die Personen, die den Tod vorsätzlich herbeigeführt haben.</w:t>
      </w:r>
    </w:p>
    <w:p>
      <w:r>
        <w:t xml:space="preserve">(3) Anspruch auf Landabgaberente besteht nicht, wenn ein Zuschuß zur Nachzahlung von Beiträgen für Landwirte zur gesetzlichen Rentenversicherung gezahlt wurde.</w:t>
      </w:r>
    </w:p>
    <w:p>
      <w:r>
        <w:t xml:space="preserve">(4) (weggefallen)</w:t>
      </w:r>
    </w:p>
    <w:p>
      <w:r>
        <w:rPr>
          <w:color w:val="555555"/>
          <w:sz w:val="17"/>
        </w:rPr>
        <w:t xml:space="preserve">Zitiervorschlag: § 121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