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AKostV 2002 — Inkrafttreten, Außerkrafttreten</w:t>
      </w:r>
    </w:p>
    <w:p>
      <w:r>
        <w:rPr>
          <w:color w:val="555555"/>
          <w:sz w:val="18"/>
        </w:rPr>
        <w:t xml:space="preserve">Auslandskostenverordnung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AKostV 2002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https://recht.nulegal.eu/gesetze/AKostV%202002/5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