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AKostV 2002 — Sprachengruppen</w:t>
      </w:r>
    </w:p>
    <w:p>
      <w:r>
        <w:rPr>
          <w:color w:val="555555"/>
          <w:sz w:val="18"/>
        </w:rPr>
        <w:t xml:space="preserve">Auslandskostenverordnung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Ist die Höhe der Gebühren nach dem Gebührenverzeichnis von der Sprachengruppe abhängig, so gilt hierfür die Einteilung der Sprachenliste (Anlage 4).</w:t>
      </w:r>
    </w:p>
    <w:p>
      <w:r>
        <w:rPr>
          <w:color w:val="555555"/>
          <w:sz w:val="17"/>
        </w:rPr>
        <w:t xml:space="preserve">Zitiervorschlag: § 4 AKostV 2002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https://recht.nulegal.eu/gesetze/AKostV%202002/4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