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AKostV 2002 — Auslagen</w:t>
      </w:r>
    </w:p>
    <w:p>
      <w:r>
        <w:rPr>
          <w:color w:val="555555"/>
          <w:sz w:val="18"/>
        </w:rPr>
        <w:t xml:space="preserve">Auslandskostenverordnung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(1) Auslagen von weniger als 5 Euro werden nur erhoben, wenn der damit verbundene Verwaltungsaufwand gering ist. Eine Pauschalierung ist zulässig.</w:t>
      </w:r>
    </w:p>
    <w:p>
      <w:r>
        <w:t xml:space="preserve">(2) Auslagen für die Übermittlung fernmündlicher, fernschriftlicher und einfacher schriftlicher Auskünfte oder Mitteilungen von weniger als 10 Euro werden nicht erhoben.</w:t>
      </w:r>
    </w:p>
    <w:p>
      <w:r>
        <w:t xml:space="preserve">(3) Kosten für Ferngespräche und Fernschreiben in Visaangelegenheiten gelten nicht als Auslagen im Sinne des Absatzes 2.</w:t>
      </w:r>
    </w:p>
    <w:p>
      <w:r>
        <w:rPr>
          <w:color w:val="555555"/>
          <w:sz w:val="17"/>
        </w:rPr>
        <w:t xml:space="preserve">Zitiervorschlag: § 3 AKostV 2002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https://recht.nulegal.eu/gesetze/AKostV%202002/3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