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AKostV 2002 — Wertgebühr</w:t>
      </w:r>
    </w:p>
    <w:p>
      <w:r>
        <w:rPr>
          <w:color w:val="555555"/>
          <w:sz w:val="18"/>
        </w:rPr>
        <w:t xml:space="preserve">Auslandskostenverordnung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Wird die Gebühr nach dem Wert des Gegenstandes der Amtshandlung erhoben, so ist dieser nach den Wertermittlungsvorschriften (Anlage 2) zu ermitteln.</w:t>
      </w:r>
    </w:p>
    <w:p>
      <w:r>
        <w:t xml:space="preserve">(2) Die Wertgebühr bestimmt sich nach der Wertgebührentabelle (Anlage 3).</w:t>
      </w:r>
    </w:p>
    <w:p>
      <w:r>
        <w:rPr>
          <w:color w:val="555555"/>
          <w:sz w:val="17"/>
        </w:rPr>
        <w:t xml:space="preserve">Zitiervorschlag: § 2 AKostV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https://recht.nulegal.eu/gesetze/AKostV%202002/2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