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AKostG — Gebührenbemessung</w:t>
      </w:r>
    </w:p>
    <w:p>
      <w:r>
        <w:rPr>
          <w:color w:val="555555"/>
          <w:sz w:val="18"/>
        </w:rPr>
        <w:t xml:space="preserve">Auslandskostengesetz</w:t>
      </w:r>
    </w:p>
    <w:p>
      <w:r>
        <w:rPr>
          <w:color w:val="555555"/>
          <w:sz w:val="18"/>
        </w:rPr>
        <w:t xml:space="preserve">Historische Fassung: Stand 10.06.2019 bis 01.10.2021. Dies ist nicht die aktuelle Fassung.</w:t>
      </w:r>
    </w:p>
    <w:p>
      <w:r>
        <w:t xml:space="preserve">(1) Sind Rahmensätze für Gebühren vorgesehen, so sind bei der Festsetzung der Gebühr im Einzelfall zu berücksichtigen</w:t>
      </w:r>
    </w:p>
    <w:p>
      <w:pPr>
        <w:ind w:left="420"/>
      </w:pPr>
      <w:r>
        <w:t xml:space="preserve">1. der mit der Amtshandlung verbundene Verwaltungsaufwand, soweit Aufwendungen nicht als Auslagen gesondert berechnet werden, und</w:t>
      </w:r>
    </w:p>
    <w:p>
      <w:pPr>
        <w:ind w:left="420"/>
      </w:pPr>
      <w:r>
        <w:t xml:space="preserve">2. die Bedeutung, der wirtschaftliche Wert oder der sonstige Nutzen der Amtshandlung für den Gebührenschuldner sowie dessen wirtschaftliche Verhältnisse.</w:t>
      </w:r>
    </w:p>
    <w:p>
      <w:r>
        <w:t xml:space="preserve">(2) Ist eine Gebühr nach dem Wert des Gegenstandes zu berechnen, so ist der Wert zum Zeitpunkt der Beendigung der Amtshandlung für die Berechnung maßgebend. Der Antragsteller ist verpflichtet, die zur Feststellung des Wertes erforderlichen Angaben zu machen.</w:t>
      </w:r>
    </w:p>
    <w:p>
      <w:r>
        <w:rPr>
          <w:color w:val="555555"/>
          <w:sz w:val="17"/>
        </w:rPr>
        <w:t xml:space="preserve">Zitiervorschlag: § 5 AKostG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https://recht.nulegal.eu/gesetze/AKostG/5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