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AKostG — Gebührengrundsätze</w:t>
      </w:r>
    </w:p>
    <w:p>
      <w:r>
        <w:rPr>
          <w:color w:val="555555"/>
          <w:sz w:val="18"/>
        </w:rPr>
        <w:t xml:space="preserve">Auslandskostengesetz</w:t>
      </w:r>
    </w:p>
    <w:p>
      <w:r>
        <w:rPr>
          <w:color w:val="555555"/>
          <w:sz w:val="18"/>
        </w:rPr>
        <w:t xml:space="preserve">Historische Fassung: Stand 10.06.2019 bis 01.10.2021. Dies ist nicht die aktuelle Fassung.</w:t>
      </w:r>
    </w:p>
    <w:p>
      <w:r>
        <w:t xml:space="preserve">(1) Die Gebührensätze sind so zu bemessen, daß zwischen der den Verwaltungsaufwand berücksichtigenden Höhe der Gebühr einerseits und der Bedeutung, dem wirtschaftlichen Wert oder dem sonstigen Nutzen der Amtshandlung andererseits ein angemessenes Verhältnis besteht.</w:t>
      </w:r>
    </w:p>
    <w:p>
      <w:r>
        <w:t xml:space="preserve">(2) Die Gebühren sind durch feste Sätze, Rahmensätze oder nach dem Wert des Gegenstandes zu bestimmen.</w:t>
      </w:r>
    </w:p>
    <w:p>
      <w:r>
        <w:rPr>
          <w:color w:val="555555"/>
          <w:sz w:val="17"/>
        </w:rPr>
        <w:t xml:space="preserve">Zitiervorschlag: § 4 AKostG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https://recht.nulegal.eu/gesetze/AKostG/4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