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AKostG — Sachliche Gebührenfreiheit</w:t>
      </w:r>
    </w:p>
    <w:p>
      <w:r>
        <w:rPr>
          <w:color w:val="555555"/>
          <w:sz w:val="18"/>
        </w:rPr>
        <w:t xml:space="preserve">Auslandskostengesetz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Gebühren sind nicht vorzusehen für</w:t>
      </w:r>
    </w:p>
    <w:p>
      <w:pPr>
        <w:ind w:left="420"/>
      </w:pPr>
      <w:r>
        <w:t xml:space="preserve">1. mündliche und einfache schriftliche Auskünfte,</w:t>
      </w:r>
    </w:p>
    <w:p>
      <w:pPr>
        <w:ind w:left="420"/>
      </w:pPr>
      <w:r>
        <w:t xml:space="preserve">2. Amtshandlungen in Gnadensachen und bei Dienstaufsichtsbeschwerden,</w:t>
      </w:r>
    </w:p>
    <w:p>
      <w:pPr>
        <w:ind w:left="420"/>
      </w:pPr>
      <w:r>
        <w:t xml:space="preserve">3. Amtshandlungen, die sich aus einem bestehenden oder früheren Dienst- oder Arbeitsverhältnis von Bediensteten im öffentlichen Dienst oder aus einem bestehenden oder früheren öffentlich-rechtlichen Amtsverhältnis ergeben,</w:t>
      </w:r>
    </w:p>
    <w:p>
      <w:pPr>
        <w:ind w:left="420"/>
      </w:pPr>
      <w:r>
        <w:t xml:space="preserve">4. Amtshandlungen, die sich aus einer bestehenden oder früheren gesetzlichen Dienstpflicht oder einer Tätigkeit ergeben, die an Stelle der gesetzlichen Dienstpflicht geleistet werden kann.</w:t>
      </w:r>
    </w:p>
    <w:p>
      <w:r>
        <w:rPr>
          <w:color w:val="555555"/>
          <w:sz w:val="17"/>
        </w:rPr>
        <w:t xml:space="preserve">Zitiervorschlag: § 3 AKostG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https://recht.nulegal.eu/gesetze/AKostG/3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