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AKostG — Berlin-Klausel</w:t>
      </w:r>
    </w:p>
    <w:p>
      <w:r>
        <w:rPr>
          <w:color w:val="555555"/>
          <w:sz w:val="18"/>
        </w:rPr>
        <w:t xml:space="preserve">Auslandskostengesetz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Dieses Gesetz gilt nach Maßgabe des § 13 Abs. 1 des Dritten Überleitungsgesetzes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24 AKostG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