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AKostG — Rechtsbehelf</w:t>
      </w:r>
    </w:p>
    <w:p>
      <w:r>
        <w:rPr>
          <w:color w:val="555555"/>
          <w:sz w:val="18"/>
        </w:rPr>
        <w:t xml:space="preserve">Auslandskostengesetz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(1) Die Kostenentscheidung kann zusammen mit der Sachentscheidung oder selbständig angefochten werden; der Rechtsbehelf gegen eine Sachentscheidung erstreckt sich auf die Kostenentscheidung.</w:t>
      </w:r>
    </w:p>
    <w:p>
      <w:r>
        <w:t xml:space="preserve">(2) Wird eine Kostenentscheidung selbständig angefochten, so ist das Rechtsbehelfsverfahren kostenrechtlich als selbständiges Verfahren zu behandeln.</w:t>
      </w:r>
    </w:p>
    <w:p>
      <w:r>
        <w:rPr>
          <w:color w:val="555555"/>
          <w:sz w:val="17"/>
        </w:rPr>
        <w:t xml:space="preserve">Zitiervorschlag: § 22 AKostG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https://recht.nulegal.eu/gesetze/AKostG/22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