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AKostG — Kostenverordnung</w:t>
      </w:r>
    </w:p>
    <w:p>
      <w:r>
        <w:rPr>
          <w:color w:val="555555"/>
          <w:sz w:val="18"/>
        </w:rPr>
        <w:t xml:space="preserve">Auslandskostengesetz</w:t>
      </w:r>
    </w:p>
    <w:p>
      <w:r>
        <w:rPr>
          <w:color w:val="555555"/>
          <w:sz w:val="18"/>
        </w:rPr>
        <w:t xml:space="preserve">Historische Fassung: Stand 27.06.2020 bis 01.10.2021. Dies ist nicht die aktuelle Fassung.</w:t>
      </w:r>
    </w:p>
    <w:p>
      <w:r>
        <w:t xml:space="preserve">(1) Der Bundesminister des Auswärtigen wird ermächtigt, im Einvernehmen mit dem Bundesminister des Innern, für Bau und Heimat und dem Bundesminister der Finanzen durch Rechtsverordnung die gebührenpflichtigen Tatbestände und die Gebührensätze unter Berücksichtigung der §§ 3 und 4 zu bestimmen.</w:t>
      </w:r>
    </w:p>
    <w:p>
      <w:r>
        <w:t xml:space="preserve">(2) In der Rechtsverordnung können auch die Fälle bestimmt werden, in denen Auslagen nicht erhoben werden, weil der mit der Erhebung verbundene Verwaltungsaufwand außer Verhältnis zur Höhe der Auslagen steht.</w:t>
      </w:r>
    </w:p>
    <w:p>
      <w:r>
        <w:rPr>
          <w:color w:val="555555"/>
          <w:sz w:val="17"/>
        </w:rPr>
        <w:t xml:space="preserve">Zitiervorschlag: § 2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