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AKostG — Stundung, Niederschlagung und Erlaß</w:t>
      </w:r>
    </w:p>
    <w:p>
      <w:r>
        <w:rPr>
          <w:color w:val="555555"/>
          <w:sz w:val="18"/>
        </w:rPr>
        <w:t xml:space="preserve">Auslandskostengesetz</w:t>
      </w:r>
    </w:p>
    <w:p>
      <w:r>
        <w:rPr>
          <w:color w:val="555555"/>
          <w:sz w:val="18"/>
        </w:rPr>
        <w:t xml:space="preserve">Historische Fassung: Stand 10.06.2019 bis 01.10.2021. Dies ist nicht die aktuelle Fassung.</w:t>
      </w:r>
    </w:p>
    <w:p>
      <w:r>
        <w:t xml:space="preserve">Für die Stundung, die Niederschlagung und den Erlaß von Forderungen auf Zahlung von Gebühren, Auslagen und sonstigen Nebenleistungen gelten die Vorschriften der Bundeshaushaltsordnung.</w:t>
      </w:r>
    </w:p>
    <w:p>
      <w:r>
        <w:rPr>
          <w:color w:val="555555"/>
          <w:sz w:val="17"/>
        </w:rPr>
        <w:t xml:space="preserve">Zitiervorschlag: § 19 AKostG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https://recht.nulegal.eu/gesetze/AKostG/19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