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AKostG — Kostenschuldner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Zur Zahlung der Kosten ist verpflichtet,</w:t>
      </w:r>
    </w:p>
    <w:p>
      <w:pPr>
        <w:ind w:left="420"/>
      </w:pPr>
      <w:r>
        <w:t xml:space="preserve">1. wer die Amtshandlung veranlaßt oder zu wessen Gunsten sie vorgenommen wird,</w:t>
      </w:r>
    </w:p>
    <w:p>
      <w:pPr>
        <w:ind w:left="420"/>
      </w:pPr>
      <w:r>
        <w:t xml:space="preserve">2. wer die Kosten durch eine vor der zuständigen Behörde abgegebene oder ihr mitgeteilte Erklärung übernommen hat,</w:t>
      </w:r>
    </w:p>
    <w:p>
      <w:pPr>
        <w:ind w:left="420"/>
      </w:pPr>
      <w:r>
        <w:t xml:space="preserve">3. wer für die Kostenschuld eines anderen kraft Gesetzes haftet.</w:t>
      </w:r>
    </w:p>
    <w:p>
      <w:r>
        <w:t xml:space="preserve">(2) Mehrere Kostenschuldner haften als Gesamtschuldner.</w:t>
      </w:r>
    </w:p>
    <w:p>
      <w:r>
        <w:rPr>
          <w:color w:val="555555"/>
          <w:sz w:val="17"/>
        </w:rPr>
        <w:t xml:space="preserve">Zitiervorschlag: § 13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