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AKostG — Kostengläubiger</w:t>
      </w:r>
    </w:p>
    <w:p>
      <w:r>
        <w:rPr>
          <w:color w:val="555555"/>
          <w:sz w:val="18"/>
        </w:rPr>
        <w:t xml:space="preserve">Auslandskostengesetz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Kostengläubiger ist die Bundesrepublik Deutschland. Wird die Amtshandlung von einem Honorarkonsularbeamten vorgenommen, so ist dieser der Kostengläubiger.</w:t>
      </w:r>
    </w:p>
    <w:p>
      <w:r>
        <w:rPr>
          <w:color w:val="555555"/>
          <w:sz w:val="17"/>
        </w:rPr>
        <w:t xml:space="preserve">Zitiervorschlag: § 12 AKostG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https://recht.nulegal.eu/gesetze/AKostG/12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