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AKostG — Entstehung der Kostenschuld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Gebührenschuld entsteht, soweit ein Antrag notwendig ist, mit dessen Eingang bei der zuständigen Behörde, im übrigen mit der Beendigung der gebührenpflichtigen Amtshandlung.</w:t>
      </w:r>
    </w:p>
    <w:p>
      <w:r>
        <w:t xml:space="preserve">(2) Die Verpflichtung zur Erstattung von Auslagen entsteht mit der Aufwendung des zu erstattenden Betrages, in den Fällen des § 7 Abs. 2 Nr. 5 zweiter Halbsatz und Nummer 7 zweiter Halbsatz mit der Beendigung der kostenpflichtigen Amtshandlung.</w:t>
      </w:r>
    </w:p>
    <w:p>
      <w:r>
        <w:rPr>
          <w:color w:val="555555"/>
          <w:sz w:val="17"/>
        </w:rPr>
        <w:t xml:space="preserve">Zitiervorschlag: § 11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