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AKostG — Anwendungsbereich</w:t>
      </w:r>
    </w:p>
    <w:p>
      <w:r>
        <w:rPr>
          <w:color w:val="555555"/>
          <w:sz w:val="18"/>
        </w:rPr>
        <w:t xml:space="preserve">Auslandskostengesetz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Für Amtshandlungen nach den §§ 1 bis 17 des Konsulargesetzes vom 11. September 1974 (BGBl. I S. 2317) werden von den Vertretungen des Bundes im Ausland (Auslandsvertretungen) und den Honorarkonsularbeamten Kosten (Gebühren und Auslagen) erhoben.</w:t>
      </w:r>
    </w:p>
    <w:p>
      <w:r>
        <w:t xml:space="preserve">(2) Für Amtshandlungen des Auswärtigen Amtes werden ebenfalls Kosten erhoben.</w:t>
      </w:r>
    </w:p>
    <w:p>
      <w:r>
        <w:t xml:space="preserve">(3) Gebührenregelungen für Amtshandlungen im Ausland in anderen Rechtsvorschriften bleiben unberührt.</w:t>
      </w:r>
    </w:p>
    <w:p>
      <w:r>
        <w:rPr>
          <w:color w:val="555555"/>
          <w:sz w:val="17"/>
        </w:rPr>
        <w:t xml:space="preserve">Zitiervorschlag: § 1 AKostG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