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AKNV — Inkrafttreten</w:t>
      </w:r>
    </w:p>
    <w:p>
      <w:r>
        <w:rPr>
          <w:color w:val="555555"/>
          <w:sz w:val="18"/>
        </w:rPr>
        <w:t xml:space="preserve">Ankunftsnachweisverordnung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6. Februar 2016 in Kraft.</w:t>
      </w:r>
    </w:p>
    <w:p>
      <w:r>
        <w:rPr>
          <w:color w:val="555555"/>
          <w:sz w:val="17"/>
        </w:rPr>
        <w:t xml:space="preserve">Zitiervorschlag: § 8 AKNV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https://recht.nulegal.eu/gesetze/AKNV/8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