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AKNV — Änderung der Anschrift, Verlängerung</w:t>
      </w:r>
    </w:p>
    <w:p>
      <w:r>
        <w:rPr>
          <w:color w:val="555555"/>
          <w:sz w:val="18"/>
        </w:rPr>
        <w:t xml:space="preserve">Ankunftsnachweisverordnung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Verlängerungsvermerk ist auf Seite 4 des Ankunftsnachweises einzutragen.</w:t>
      </w:r>
    </w:p>
    <w:p>
      <w:r>
        <w:t xml:space="preserve">(2) Die Änderung der Anschrift ist im Feld „amtliche Vermerke“ auf Seite 5 des Ankunftsnachweises einzutragen.</w:t>
      </w:r>
    </w:p>
    <w:p>
      <w:r>
        <w:t xml:space="preserve">(3) Die Vermerke zur Änderung der Anschrift und zur Verlängerung sind vom Mitarbeiter der zuständigen Behörde zu unterzeichnen und mit dem Behördensiegel zu versehen.</w:t>
      </w:r>
    </w:p>
    <w:p>
      <w:r>
        <w:rPr>
          <w:color w:val="555555"/>
          <w:sz w:val="17"/>
        </w:rPr>
        <w:t xml:space="preserve">Zitiervorschlag: § 7 AKNV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https://recht.nulegal.eu/gesetze/AKNV/7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